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1B6" w:rsidRDefault="00BC413F">
      <w:r>
        <w:t>Лекция 14</w:t>
      </w:r>
    </w:p>
    <w:p w:rsidR="00BC413F" w:rsidRPr="00BC413F" w:rsidRDefault="00BC413F" w:rsidP="00BC413F">
      <w:pPr>
        <w:spacing w:before="161" w:after="161" w:line="555" w:lineRule="atLeast"/>
        <w:outlineLvl w:val="0"/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</w:pPr>
      <w:r w:rsidRPr="00BC413F"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  <w:t>Комбинированные физико-химические методы интенсификации процессов обеззараживания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 числу перспективных физических методов интенсификации процессов обеззара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живания воды, разработанных в НИИ РАН, институте коллоидной химии и химии воды АН Украины и других научно-исследовательских организациях, относятся:</w:t>
      </w:r>
    </w:p>
    <w:p w:rsidR="00BC413F" w:rsidRPr="00BC413F" w:rsidRDefault="00BC413F" w:rsidP="00BC413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усиление антимикробного эффекта катионов путем наложения электрического поля;</w:t>
      </w:r>
    </w:p>
    <w:p w:rsidR="00BC413F" w:rsidRPr="00BC413F" w:rsidRDefault="00BC413F" w:rsidP="00BC413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использование ультразвука;</w:t>
      </w:r>
    </w:p>
    <w:p w:rsidR="00BC413F" w:rsidRPr="00BC413F" w:rsidRDefault="00BC413F" w:rsidP="00BC413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применение электродиализа;</w:t>
      </w:r>
    </w:p>
    <w:p w:rsidR="00BC413F" w:rsidRPr="00BC413F" w:rsidRDefault="00BC413F" w:rsidP="00BC413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прямой электролиз хлоридов, содержащихся в природных водах (особенно высо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коминерализованных</w:t>
      </w:r>
      <w:proofErr w:type="gram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;</w:t>
      </w:r>
      <w:proofErr w:type="gramEnd"/>
    </w:p>
    <w:p w:rsidR="00BC413F" w:rsidRPr="00BC413F" w:rsidRDefault="00BC413F" w:rsidP="00BC413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совместное воздействие УФ-облучения и перекиси водорода;</w:t>
      </w:r>
    </w:p>
    <w:p w:rsidR="00BC413F" w:rsidRPr="00BC413F" w:rsidRDefault="00BC413F" w:rsidP="00BC413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использование посеребренного активированного угля.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Теоретические основы бактерицидного воздействия постоянного электрического поля объясняются повышением чувствительности микробных клеток к антимикробным агентам. Действие постоянного электрического поля с напряженностью от 30 до 10 В/см</w:t>
      </w:r>
      <w:r w:rsidRPr="00BC413F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2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 на бактерии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Ecoli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осуществляемое в электролизере с графитовыми электрода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ми, наиболее сильно проявляется при наличии в воде катионов серебра, меди, цинка, железа с их концентрацией до 0,1 мг-ион/л и усиливается с увеличением продолжительности обработки воды до 60 и более секунд.</w:t>
      </w:r>
    </w:p>
    <w:p w:rsidR="00BC413F" w:rsidRPr="00BC413F" w:rsidRDefault="00BC413F" w:rsidP="00BC413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 более низких концентрациях (0,002-0,005) антимикробный эффект катионов в условиях наложения электрического поля проявляют только ионы серебра.</w:t>
      </w:r>
    </w:p>
    <w:p w:rsidR="00BC413F" w:rsidRPr="00BC413F" w:rsidRDefault="00BC413F" w:rsidP="00BC413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BC413F">
        <w:rPr>
          <w:rFonts w:ascii="Arial" w:eastAsia="Times New Roman" w:hAnsi="Arial" w:cs="Arial"/>
          <w:b/>
          <w:bCs/>
          <w:color w:val="29547A"/>
          <w:sz w:val="28"/>
          <w:szCs w:val="28"/>
          <w:lang w:eastAsia="ru-RU"/>
        </w:rPr>
        <w:t>Эффективность бактерицидного воздействия ионов металлов во времени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557738" cy="3499945"/>
            <wp:effectExtent l="0" t="0" r="0" b="5715"/>
            <wp:docPr id="2" name="Рисунок 2" descr="https://ros-pipe.ru/userfiles/ufiles/%D0%BE%D1%82%D1%80%D0%B0%D1%81%D0%BB%D0%B5%D0%B2%D1%8B%D0%B5%20%D1%80%D0%B5%D1%88%D0%B5%D0%BD%D0%B8%D1%8F/16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os-pipe.ru/userfiles/ufiles/%D0%BE%D1%82%D1%80%D0%B0%D1%81%D0%BB%D0%B5%D0%B2%D1%8B%D0%B5%20%D1%80%D0%B5%D1%88%D0%B5%D0%BD%D0%B8%D1%8F/16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545" cy="3503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Значительно повысить дезинфицирующее действие малых доз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хлорреагентов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пе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рекиси водорода, УФ-облучения можно посредством ультразвука (УЗ). Этот метод осо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бенно перспективен в случаях обеззараживания недостаточно очищенных вод. Гибель микробов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Ecoli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при ультразвуковой обработке воды возрастает с увеличением экспози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ций до 10 и более минут. Так, при действии ультразвука с частотой 820 кГц и напряжен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ностью поля 30 В/см</w:t>
      </w:r>
      <w:r w:rsidRPr="00BC413F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2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при содержании кишечной палочки в воде до 104 мг/мл гибель микробов возрастала от 0,5% при времени воздействия 0,5 мин до 80% при времени воз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действия 10 мин.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связи с широким применением первичного и вторичного хлорирования воды в коммунальном водоснабжении в системах подготовки и транспортировки хлорирован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ной воды могут оставаться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хлоррезистентные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микроорганизмы, сохраняющие свою жизнедеятельно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сть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этих условиях повышение бактерицидной надежности очищенной воды можно до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стичь применением электролитических растворов серебра. Значительные положительные результаты испытаний этого метода были получены в Институте коллоидной химии и химии воды АН Украины и Институте медико-биологических проблем России.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Механизм действия серебра на микробную клетку заключается в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сорбировании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се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ребра клеточной оболочкой проникновением ионов серебра внутрь клетки и блокиров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кой им бактериальных ферментов. В результате последнего клетка погибает. Опытами установлено, что вода, обработанная серебром в концентрации 0,1 мг/л, может сохра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нять высокие санитарно-гигиенические свойства в течение года.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Обеззараживание и консервирование питьевой воды осуществляют в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ионаторах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конструктивно состоящих из электролизера с анодным растворением серебряных элек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тродов, датчиков расходов воды и системы управления трубопроводами и блока автома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тики. Блок автоматики контролирует и обеспечивает требуемую продолжительность ра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боты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ионатора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переключение полярности питающего электроды напряжения через 10-20 мин, отключение его работы при прекращении подачи воды.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</w:pPr>
      <w:r w:rsidRPr="00BC413F">
        <w:rPr>
          <w:rFonts w:ascii="Arial" w:eastAsia="Times New Roman" w:hAnsi="Arial" w:cs="Arial"/>
          <w:b/>
          <w:bCs/>
          <w:color w:val="29547A"/>
          <w:sz w:val="32"/>
          <w:szCs w:val="32"/>
          <w:lang w:eastAsia="ru-RU"/>
        </w:rPr>
        <w:t xml:space="preserve">Характеристики работы </w:t>
      </w:r>
      <w:proofErr w:type="spellStart"/>
      <w:r w:rsidRPr="00BC413F">
        <w:rPr>
          <w:rFonts w:ascii="Arial" w:eastAsia="Times New Roman" w:hAnsi="Arial" w:cs="Arial"/>
          <w:b/>
          <w:bCs/>
          <w:color w:val="29547A"/>
          <w:sz w:val="32"/>
          <w:szCs w:val="32"/>
          <w:lang w:eastAsia="ru-RU"/>
        </w:rPr>
        <w:t>ионатора</w:t>
      </w:r>
      <w:proofErr w:type="spellEnd"/>
      <w:r w:rsidRPr="00BC413F">
        <w:rPr>
          <w:rFonts w:ascii="Arial" w:eastAsia="Times New Roman" w:hAnsi="Arial" w:cs="Arial"/>
          <w:b/>
          <w:bCs/>
          <w:color w:val="29547A"/>
          <w:sz w:val="32"/>
          <w:szCs w:val="32"/>
          <w:lang w:eastAsia="ru-RU"/>
        </w:rPr>
        <w:t xml:space="preserve"> ЛК-34(с)</w:t>
      </w:r>
    </w:p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1"/>
        <w:gridCol w:w="856"/>
        <w:gridCol w:w="1489"/>
        <w:gridCol w:w="1789"/>
        <w:gridCol w:w="1366"/>
        <w:gridCol w:w="1469"/>
      </w:tblGrid>
      <w:tr w:rsidR="00BC413F" w:rsidRPr="00BC413F" w:rsidTr="00BC413F">
        <w:trPr>
          <w:tblCellSpacing w:w="15" w:type="dxa"/>
        </w:trPr>
        <w:tc>
          <w:tcPr>
            <w:tcW w:w="169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воды (растворите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ля концентрата)</w:t>
            </w:r>
          </w:p>
        </w:tc>
        <w:tc>
          <w:tcPr>
            <w:tcW w:w="70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</w:t>
            </w:r>
          </w:p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тока,</w:t>
            </w:r>
          </w:p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24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элек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тролиза, мин</w:t>
            </w:r>
          </w:p>
        </w:tc>
        <w:tc>
          <w:tcPr>
            <w:tcW w:w="136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Концентрация серебра в ем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кости, мг/л</w:t>
            </w:r>
          </w:p>
        </w:tc>
        <w:tc>
          <w:tcPr>
            <w:tcW w:w="1140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се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ребра по току, %</w:t>
            </w:r>
          </w:p>
        </w:tc>
        <w:tc>
          <w:tcPr>
            <w:tcW w:w="121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Точность дозирова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ния, %</w:t>
            </w:r>
          </w:p>
        </w:tc>
      </w:tr>
      <w:tr w:rsidR="00BC413F" w:rsidRPr="00BC413F" w:rsidTr="00BC413F">
        <w:trPr>
          <w:tblCellSpacing w:w="15" w:type="dxa"/>
        </w:trPr>
        <w:tc>
          <w:tcPr>
            <w:tcW w:w="169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Водопроводная</w:t>
            </w:r>
          </w:p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</w:t>
            </w:r>
          </w:p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Сl</w:t>
            </w:r>
            <w:proofErr w:type="spellEnd"/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-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 15 мг/л</w:t>
            </w:r>
          </w:p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= 200 мг/л</w:t>
            </w:r>
          </w:p>
        </w:tc>
        <w:tc>
          <w:tcPr>
            <w:tcW w:w="70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4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136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52-60</w:t>
            </w:r>
          </w:p>
        </w:tc>
        <w:tc>
          <w:tcPr>
            <w:tcW w:w="1140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21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5-20</w:t>
            </w:r>
          </w:p>
        </w:tc>
      </w:tr>
      <w:tr w:rsidR="00BC413F" w:rsidRPr="00BC413F" w:rsidTr="00BC413F">
        <w:trPr>
          <w:tblCellSpacing w:w="15" w:type="dxa"/>
        </w:trPr>
        <w:tc>
          <w:tcPr>
            <w:tcW w:w="169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Водопроводная</w:t>
            </w:r>
          </w:p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</w:t>
            </w:r>
          </w:p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Сl</w:t>
            </w:r>
            <w:proofErr w:type="spellEnd"/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-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350 мг/л</w:t>
            </w:r>
          </w:p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S0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4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2-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500 мг/л</w:t>
            </w:r>
          </w:p>
        </w:tc>
        <w:tc>
          <w:tcPr>
            <w:tcW w:w="70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4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136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35-45</w:t>
            </w:r>
          </w:p>
        </w:tc>
        <w:tc>
          <w:tcPr>
            <w:tcW w:w="1140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1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8-30</w:t>
            </w:r>
          </w:p>
        </w:tc>
      </w:tr>
    </w:tbl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Помимо серебряных электродов в электролизерах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электрорастворение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серебра осу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ществляют с поверхности угольных электродов. Приготовление серебряной воды в ма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лых водоочистных устройствах осуществляют с использованием посеребренного акти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вированного угля.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Новочеркасской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государственной мелиоративной академии разработана техноло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гия обеззараживания воды на основе комбинирования УФ-облучения, пероксида водо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рода и обработки ионами серебра, позволяющая в ряде случаев исключить применение хлора на финишной стадии подготовки питьевой воды. В результате этого снижается уровень экологической опасности системы водоподготовки в целом.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Введение ионов в воду, подвергаемую в дальнейшем бактерицидной обработке пе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роксидом водорода и УФ-лучами, сопровождается значительным (на порядок и более) повышением интегрального уровня обеззараживания. Это явление вызвано собственны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ми относительно высокими бактерицидными свойствами указанных ионов и их дли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тельным бактерицидным действием, а также ускорением процессов химического и фо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тохимического разложения пероксида водорода и отчасти воды, приводящих к образо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ванию (согласно литературным данным)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суперактивных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бактерицидном отношении радикалов ОН, и вероятным образованием обладающих аналогичными свойствами час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тиц Ag</w:t>
      </w:r>
      <w:r w:rsidRPr="00BC413F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2+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Вполне очевидно, что последние могут существовать только в сильно окислитель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ной среде, создаваемой совместно молекулами Н</w:t>
      </w:r>
      <w:r w:rsidRPr="00BC413F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0</w:t>
      </w:r>
      <w:r w:rsidRPr="00BC413F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частицами ОН и УФ-воздействием. После прекращения УФ-облучения и разложения Н</w:t>
      </w:r>
      <w:r w:rsidRPr="00BC413F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0</w:t>
      </w:r>
      <w:r w:rsidRPr="00BC413F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 условия для существования частиц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Ag</w:t>
      </w:r>
      <w:proofErr w:type="spellEnd"/>
      <w:r w:rsidRPr="00BC413F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+ 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исчезают, и они вновь переходят в стабильное состояние. Нахождение по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следних в воде придает ей способность длительно сопротивляться вторичному бактери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альному загрязнению. Это обстоятельство является дополнительным аргументом в пользу применения ионов серебра и меди в процессах обеззараживания воды, основан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ных на использовании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дезинфектантов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химической природы.</w:t>
      </w:r>
    </w:p>
    <w:p w:rsidR="00BC413F" w:rsidRPr="00BC413F" w:rsidRDefault="00BC413F" w:rsidP="00BC413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BC413F">
        <w:rPr>
          <w:rFonts w:ascii="Arial" w:eastAsia="Times New Roman" w:hAnsi="Arial" w:cs="Arial"/>
          <w:b/>
          <w:bCs/>
          <w:color w:val="29547A"/>
          <w:sz w:val="28"/>
          <w:szCs w:val="28"/>
          <w:lang w:eastAsia="ru-RU"/>
        </w:rPr>
        <w:t xml:space="preserve">Эффект обеззараживания воды при различных комбинациях </w:t>
      </w:r>
      <w:proofErr w:type="spellStart"/>
      <w:proofErr w:type="gramStart"/>
      <w:r w:rsidRPr="00BC413F">
        <w:rPr>
          <w:rFonts w:ascii="Arial" w:eastAsia="Times New Roman" w:hAnsi="Arial" w:cs="Arial"/>
          <w:b/>
          <w:bCs/>
          <w:color w:val="29547A"/>
          <w:sz w:val="28"/>
          <w:szCs w:val="28"/>
          <w:lang w:eastAsia="ru-RU"/>
        </w:rPr>
        <w:t>бактерицидов,включая</w:t>
      </w:r>
      <w:proofErr w:type="spellEnd"/>
      <w:proofErr w:type="gramEnd"/>
      <w:r w:rsidRPr="00BC413F">
        <w:rPr>
          <w:rFonts w:ascii="Arial" w:eastAsia="Times New Roman" w:hAnsi="Arial" w:cs="Arial"/>
          <w:b/>
          <w:bCs/>
          <w:color w:val="29547A"/>
          <w:sz w:val="28"/>
          <w:szCs w:val="28"/>
          <w:lang w:eastAsia="ru-RU"/>
        </w:rPr>
        <w:t xml:space="preserve"> ионы серебра с концентрацией 0,02 мг/л (N</w:t>
      </w:r>
      <w:r w:rsidRPr="00BC413F">
        <w:rPr>
          <w:rFonts w:ascii="Arial" w:eastAsia="Times New Roman" w:hAnsi="Arial" w:cs="Arial"/>
          <w:b/>
          <w:bCs/>
          <w:color w:val="29547A"/>
          <w:sz w:val="28"/>
          <w:szCs w:val="28"/>
          <w:vertAlign w:val="subscript"/>
          <w:lang w:eastAsia="ru-RU"/>
        </w:rPr>
        <w:t>0</w:t>
      </w:r>
      <w:r w:rsidRPr="00BC413F">
        <w:rPr>
          <w:rFonts w:ascii="Arial" w:eastAsia="Times New Roman" w:hAnsi="Arial" w:cs="Arial"/>
          <w:b/>
          <w:bCs/>
          <w:color w:val="29547A"/>
          <w:sz w:val="28"/>
          <w:szCs w:val="28"/>
          <w:lang w:eastAsia="ru-RU"/>
        </w:rPr>
        <w:t xml:space="preserve"> = 108 </w:t>
      </w:r>
      <w:proofErr w:type="spellStart"/>
      <w:r w:rsidRPr="00BC413F">
        <w:rPr>
          <w:rFonts w:ascii="Arial" w:eastAsia="Times New Roman" w:hAnsi="Arial" w:cs="Arial"/>
          <w:b/>
          <w:bCs/>
          <w:color w:val="29547A"/>
          <w:sz w:val="28"/>
          <w:szCs w:val="28"/>
          <w:lang w:eastAsia="ru-RU"/>
        </w:rPr>
        <w:t>кл</w:t>
      </w:r>
      <w:proofErr w:type="spellEnd"/>
      <w:r w:rsidRPr="00BC413F">
        <w:rPr>
          <w:rFonts w:ascii="Arial" w:eastAsia="Times New Roman" w:hAnsi="Arial" w:cs="Arial"/>
          <w:b/>
          <w:bCs/>
          <w:color w:val="29547A"/>
          <w:sz w:val="28"/>
          <w:szCs w:val="28"/>
          <w:lang w:eastAsia="ru-RU"/>
        </w:rPr>
        <w:t>/см</w:t>
      </w:r>
      <w:r w:rsidRPr="00BC413F">
        <w:rPr>
          <w:rFonts w:ascii="Arial" w:eastAsia="Times New Roman" w:hAnsi="Arial" w:cs="Arial"/>
          <w:b/>
          <w:bCs/>
          <w:color w:val="29547A"/>
          <w:sz w:val="28"/>
          <w:szCs w:val="28"/>
          <w:vertAlign w:val="superscript"/>
          <w:lang w:eastAsia="ru-RU"/>
        </w:rPr>
        <w:t>3</w:t>
      </w:r>
      <w:r w:rsidRPr="00BC413F">
        <w:rPr>
          <w:rFonts w:ascii="Arial" w:eastAsia="Times New Roman" w:hAnsi="Arial" w:cs="Arial"/>
          <w:b/>
          <w:bCs/>
          <w:color w:val="29547A"/>
          <w:sz w:val="28"/>
          <w:szCs w:val="28"/>
          <w:lang w:eastAsia="ru-RU"/>
        </w:rPr>
        <w:t>)</w:t>
      </w:r>
    </w:p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6"/>
        <w:gridCol w:w="1755"/>
        <w:gridCol w:w="874"/>
        <w:gridCol w:w="874"/>
        <w:gridCol w:w="874"/>
        <w:gridCol w:w="893"/>
        <w:gridCol w:w="1794"/>
      </w:tblGrid>
      <w:tr w:rsidR="00BC413F" w:rsidRPr="00BC413F" w:rsidTr="00BC413F">
        <w:trPr>
          <w:tblCellSpacing w:w="15" w:type="dxa"/>
        </w:trPr>
        <w:tc>
          <w:tcPr>
            <w:tcW w:w="1545" w:type="dxa"/>
            <w:vMerge w:val="restart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Комбинация</w:t>
            </w:r>
          </w:p>
        </w:tc>
        <w:tc>
          <w:tcPr>
            <w:tcW w:w="1410" w:type="dxa"/>
            <w:vMerge w:val="restart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Доза</w:t>
            </w:r>
          </w:p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УФ-излучения,</w:t>
            </w:r>
          </w:p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мДж/см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2</w:t>
            </w:r>
          </w:p>
        </w:tc>
        <w:tc>
          <w:tcPr>
            <w:tcW w:w="2760" w:type="dxa"/>
            <w:gridSpan w:val="4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 </w:t>
            </w:r>
            <w:proofErr w:type="spellStart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t</w:t>
            </w:r>
            <w:proofErr w:type="spellEnd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/N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0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истечении времени экспозиции, ч</w:t>
            </w:r>
          </w:p>
        </w:tc>
        <w:tc>
          <w:tcPr>
            <w:tcW w:w="1275" w:type="dxa"/>
            <w:vMerge w:val="restart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 от введения </w:t>
            </w:r>
            <w:proofErr w:type="spellStart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Ag</w:t>
            </w:r>
            <w:proofErr w:type="spellEnd"/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+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кратность превышения</w:t>
            </w:r>
          </w:p>
        </w:tc>
      </w:tr>
      <w:tr w:rsidR="00BC413F" w:rsidRPr="00BC413F" w:rsidTr="00BC413F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0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0" w:type="auto"/>
            <w:vMerge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413F" w:rsidRPr="00BC413F" w:rsidTr="00BC413F">
        <w:trPr>
          <w:tblCellSpacing w:w="15" w:type="dxa"/>
        </w:trPr>
        <w:tc>
          <w:tcPr>
            <w:tcW w:w="154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+ УФ</w:t>
            </w:r>
          </w:p>
        </w:tc>
        <w:tc>
          <w:tcPr>
            <w:tcW w:w="141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-3,3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-4,3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-4,5</w:t>
            </w:r>
          </w:p>
        </w:tc>
        <w:tc>
          <w:tcPr>
            <w:tcW w:w="70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-4,55</w:t>
            </w:r>
          </w:p>
        </w:tc>
        <w:tc>
          <w:tcPr>
            <w:tcW w:w="127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</w:t>
            </w:r>
          </w:p>
        </w:tc>
      </w:tr>
      <w:tr w:rsidR="00BC413F" w:rsidRPr="00BC413F" w:rsidTr="00BC413F">
        <w:trPr>
          <w:tblCellSpacing w:w="15" w:type="dxa"/>
        </w:trPr>
        <w:tc>
          <w:tcPr>
            <w:tcW w:w="154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Ag</w:t>
            </w:r>
            <w:proofErr w:type="spellEnd"/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+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Н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+ УФ</w:t>
            </w:r>
          </w:p>
        </w:tc>
        <w:tc>
          <w:tcPr>
            <w:tcW w:w="1410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-4,0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-5,05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-5,7</w:t>
            </w:r>
          </w:p>
        </w:tc>
        <w:tc>
          <w:tcPr>
            <w:tcW w:w="70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-6,2</w:t>
            </w:r>
          </w:p>
        </w:tc>
        <w:tc>
          <w:tcPr>
            <w:tcW w:w="127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413F" w:rsidRPr="00BC413F" w:rsidTr="00BC413F">
        <w:trPr>
          <w:tblCellSpacing w:w="15" w:type="dxa"/>
        </w:trPr>
        <w:tc>
          <w:tcPr>
            <w:tcW w:w="154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+ УФ</w:t>
            </w:r>
          </w:p>
        </w:tc>
        <w:tc>
          <w:tcPr>
            <w:tcW w:w="141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^.35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-4,8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-5,0</w:t>
            </w:r>
          </w:p>
        </w:tc>
        <w:tc>
          <w:tcPr>
            <w:tcW w:w="70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-5,0</w:t>
            </w:r>
          </w:p>
        </w:tc>
        <w:tc>
          <w:tcPr>
            <w:tcW w:w="127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</w:t>
            </w:r>
          </w:p>
        </w:tc>
      </w:tr>
      <w:tr w:rsidR="00BC413F" w:rsidRPr="00BC413F" w:rsidTr="00BC413F">
        <w:trPr>
          <w:tblCellSpacing w:w="15" w:type="dxa"/>
        </w:trPr>
        <w:tc>
          <w:tcPr>
            <w:tcW w:w="154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Ag</w:t>
            </w:r>
            <w:proofErr w:type="spellEnd"/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+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Н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+ УФ</w:t>
            </w:r>
          </w:p>
        </w:tc>
        <w:tc>
          <w:tcPr>
            <w:tcW w:w="1410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-4,85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-5,45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-6,0</w:t>
            </w:r>
          </w:p>
        </w:tc>
        <w:tc>
          <w:tcPr>
            <w:tcW w:w="70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-6,1</w:t>
            </w:r>
          </w:p>
        </w:tc>
        <w:tc>
          <w:tcPr>
            <w:tcW w:w="127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413F" w:rsidRPr="00BC413F" w:rsidTr="00BC413F">
        <w:trPr>
          <w:tblCellSpacing w:w="15" w:type="dxa"/>
        </w:trPr>
        <w:tc>
          <w:tcPr>
            <w:tcW w:w="154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+ УФ</w:t>
            </w:r>
          </w:p>
        </w:tc>
        <w:tc>
          <w:tcPr>
            <w:tcW w:w="141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-5,0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-6,0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-6,4</w:t>
            </w:r>
          </w:p>
        </w:tc>
        <w:tc>
          <w:tcPr>
            <w:tcW w:w="70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-6,5</w:t>
            </w:r>
          </w:p>
        </w:tc>
        <w:tc>
          <w:tcPr>
            <w:tcW w:w="127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</w:t>
            </w:r>
          </w:p>
        </w:tc>
      </w:tr>
      <w:tr w:rsidR="00BC413F" w:rsidRPr="00BC413F" w:rsidTr="00BC413F">
        <w:trPr>
          <w:tblCellSpacing w:w="15" w:type="dxa"/>
        </w:trPr>
        <w:tc>
          <w:tcPr>
            <w:tcW w:w="154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Ag</w:t>
            </w:r>
            <w:proofErr w:type="spellEnd"/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+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Н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+УФ</w:t>
            </w:r>
          </w:p>
        </w:tc>
        <w:tc>
          <w:tcPr>
            <w:tcW w:w="1410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-6,3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-7,25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-7,5</w:t>
            </w:r>
          </w:p>
        </w:tc>
        <w:tc>
          <w:tcPr>
            <w:tcW w:w="70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-7,55</w:t>
            </w:r>
          </w:p>
        </w:tc>
        <w:tc>
          <w:tcPr>
            <w:tcW w:w="127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413F" w:rsidRPr="00BC413F" w:rsidTr="00BC413F">
        <w:trPr>
          <w:tblCellSpacing w:w="15" w:type="dxa"/>
        </w:trPr>
        <w:tc>
          <w:tcPr>
            <w:tcW w:w="154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+ УФ</w:t>
            </w:r>
          </w:p>
        </w:tc>
        <w:tc>
          <w:tcPr>
            <w:tcW w:w="141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-5,5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-6,25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-6,45</w:t>
            </w:r>
          </w:p>
        </w:tc>
        <w:tc>
          <w:tcPr>
            <w:tcW w:w="70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-6,55</w:t>
            </w:r>
          </w:p>
        </w:tc>
        <w:tc>
          <w:tcPr>
            <w:tcW w:w="127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35,5</w:t>
            </w:r>
          </w:p>
        </w:tc>
      </w:tr>
      <w:tr w:rsidR="00BC413F" w:rsidRPr="00BC413F" w:rsidTr="00BC413F">
        <w:trPr>
          <w:tblCellSpacing w:w="15" w:type="dxa"/>
        </w:trPr>
        <w:tc>
          <w:tcPr>
            <w:tcW w:w="154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Ag</w:t>
            </w:r>
            <w:proofErr w:type="spellEnd"/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+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Н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+УФ</w:t>
            </w:r>
          </w:p>
        </w:tc>
        <w:tc>
          <w:tcPr>
            <w:tcW w:w="1410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-7,0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-7,55</w:t>
            </w:r>
          </w:p>
        </w:tc>
        <w:tc>
          <w:tcPr>
            <w:tcW w:w="69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-8,0</w:t>
            </w:r>
          </w:p>
        </w:tc>
        <w:tc>
          <w:tcPr>
            <w:tcW w:w="70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vAlign w:val="center"/>
            <w:hideMark/>
          </w:tcPr>
          <w:p w:rsidR="00BC413F" w:rsidRPr="00BC413F" w:rsidRDefault="00BC413F" w:rsidP="00BC4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Из анализа полученных результатов следует, что по среднегодовым эквивалентным затратам наиболее перспективной может считаться технология, основанная на использо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вании УФ-облучения и ионов серебра, полученных путем растворения сульфата серебра.</w:t>
      </w:r>
    </w:p>
    <w:p w:rsidR="00BC413F" w:rsidRPr="00BC413F" w:rsidRDefault="00BC413F" w:rsidP="00BC413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BC413F">
        <w:rPr>
          <w:rFonts w:ascii="Arial" w:eastAsia="Times New Roman" w:hAnsi="Arial" w:cs="Arial"/>
          <w:b/>
          <w:bCs/>
          <w:color w:val="29547A"/>
          <w:sz w:val="28"/>
          <w:szCs w:val="28"/>
          <w:lang w:eastAsia="ru-RU"/>
        </w:rPr>
        <w:t>Эквивалентные затраты на реализацию различных технологий обеззараживания воды на водоочистной станции ГРЭС г. Новочеркасска</w:t>
      </w:r>
    </w:p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3"/>
        <w:gridCol w:w="1948"/>
        <w:gridCol w:w="1201"/>
        <w:gridCol w:w="1717"/>
        <w:gridCol w:w="1781"/>
      </w:tblGrid>
      <w:tr w:rsidR="00BC413F" w:rsidRPr="00BC413F" w:rsidTr="00BC413F">
        <w:trPr>
          <w:tblCellSpacing w:w="15" w:type="dxa"/>
        </w:trPr>
        <w:tc>
          <w:tcPr>
            <w:tcW w:w="186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39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Инвестиционные затраты, тыс. </w:t>
            </w:r>
            <w:proofErr w:type="spellStart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/год</w:t>
            </w:r>
          </w:p>
        </w:tc>
        <w:tc>
          <w:tcPr>
            <w:tcW w:w="109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Текущие затраты, тыс. </w:t>
            </w:r>
            <w:proofErr w:type="spellStart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/год</w:t>
            </w:r>
          </w:p>
        </w:tc>
        <w:tc>
          <w:tcPr>
            <w:tcW w:w="139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Экологические ущербы, тыс. </w:t>
            </w:r>
            <w:proofErr w:type="spellStart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/год</w:t>
            </w:r>
          </w:p>
        </w:tc>
        <w:tc>
          <w:tcPr>
            <w:tcW w:w="127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Эквивалентные затраты, тыс. </w:t>
            </w:r>
            <w:proofErr w:type="spellStart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/год</w:t>
            </w:r>
          </w:p>
        </w:tc>
      </w:tr>
      <w:tr w:rsidR="00BC413F" w:rsidRPr="00BC413F" w:rsidTr="00BC413F">
        <w:trPr>
          <w:tblCellSpacing w:w="15" w:type="dxa"/>
        </w:trPr>
        <w:tc>
          <w:tcPr>
            <w:tcW w:w="186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Хлорирование (базовый вариант)</w:t>
            </w:r>
          </w:p>
        </w:tc>
        <w:tc>
          <w:tcPr>
            <w:tcW w:w="139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66,0</w:t>
            </w:r>
          </w:p>
        </w:tc>
        <w:tc>
          <w:tcPr>
            <w:tcW w:w="109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34,28</w:t>
            </w:r>
          </w:p>
        </w:tc>
        <w:tc>
          <w:tcPr>
            <w:tcW w:w="139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20469,2</w:t>
            </w:r>
          </w:p>
        </w:tc>
        <w:tc>
          <w:tcPr>
            <w:tcW w:w="127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24621,3</w:t>
            </w:r>
          </w:p>
        </w:tc>
      </w:tr>
      <w:tr w:rsidR="00BC413F" w:rsidRPr="00BC413F" w:rsidTr="00BC413F">
        <w:trPr>
          <w:tblCellSpacing w:w="15" w:type="dxa"/>
        </w:trPr>
        <w:tc>
          <w:tcPr>
            <w:tcW w:w="186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УФ-облучение + ионы серебра (электролиз)</w:t>
            </w:r>
          </w:p>
        </w:tc>
        <w:tc>
          <w:tcPr>
            <w:tcW w:w="139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2325,5</w:t>
            </w:r>
          </w:p>
        </w:tc>
        <w:tc>
          <w:tcPr>
            <w:tcW w:w="109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240,98</w:t>
            </w:r>
          </w:p>
        </w:tc>
        <w:tc>
          <w:tcPr>
            <w:tcW w:w="139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0,0107</w:t>
            </w:r>
          </w:p>
        </w:tc>
        <w:tc>
          <w:tcPr>
            <w:tcW w:w="127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3000,3</w:t>
            </w:r>
          </w:p>
        </w:tc>
      </w:tr>
      <w:tr w:rsidR="00BC413F" w:rsidRPr="00BC413F" w:rsidTr="00BC413F">
        <w:trPr>
          <w:tblCellSpacing w:w="15" w:type="dxa"/>
        </w:trPr>
        <w:tc>
          <w:tcPr>
            <w:tcW w:w="1860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УФ-облучение + ионы серебра (растворение Ag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S0</w:t>
            </w:r>
            <w:r w:rsidRPr="00BC413F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4</w:t>
            </w: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39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2177,5</w:t>
            </w:r>
          </w:p>
        </w:tc>
        <w:tc>
          <w:tcPr>
            <w:tcW w:w="109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240,98</w:t>
            </w:r>
          </w:p>
        </w:tc>
        <w:tc>
          <w:tcPr>
            <w:tcW w:w="139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0,0107</w:t>
            </w:r>
          </w:p>
        </w:tc>
        <w:tc>
          <w:tcPr>
            <w:tcW w:w="1275" w:type="dxa"/>
            <w:vAlign w:val="center"/>
            <w:hideMark/>
          </w:tcPr>
          <w:p w:rsidR="00BC413F" w:rsidRPr="00BC413F" w:rsidRDefault="00BC413F" w:rsidP="00BC41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2852,3</w:t>
            </w:r>
          </w:p>
        </w:tc>
      </w:tr>
    </w:tbl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ряде случаев, особенно если система обеззараживания функционирует в центре города, для обеззараживания воды целесообразно применение в комплексе с УФ-облучением гипохлорита натрия.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Оценка различных альтернативных методов обеззараживания в системе водоснабжения г. Уфы показала целесообразность применения гипохлорита натрия в комплексе с УФ-облучением. УФ-облучение служит для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инактивации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патогенных мик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роорганизмов, а гипохлорит натрия обеспечивает продолжительный бактерицидный эф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фект в водопроводной сети. Применение подобной схемы показало высокую эффектив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ность обеззараживания на Северном ковшовом водозаборе г. Уфы.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определения доз реагентов и разработки схемы обеззараживания в составе дей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ствующих сооружений были проведены исследования и тестовые испытания, которые позволили установить, что:</w:t>
      </w:r>
    </w:p>
    <w:p w:rsidR="00BC413F" w:rsidRPr="00BC413F" w:rsidRDefault="00BC413F" w:rsidP="00BC413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при повышенном содержании в воде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колифагов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(до 20 БОЕ/100 мл) применение исключительно хлорирования не гарантирует их полного удаления;</w:t>
      </w:r>
    </w:p>
    <w:p w:rsidR="00BC413F" w:rsidRPr="00BC413F" w:rsidRDefault="00BC413F" w:rsidP="00BC413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комплексное воздействие УФ-облучения и гипохлорита натрия во всех случаях яв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ляется эффективным средством обеззараживания воды, независимо от порядка следова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ния стадий очистки;</w:t>
      </w:r>
    </w:p>
    <w:p w:rsidR="00BC413F" w:rsidRPr="00BC413F" w:rsidRDefault="00BC413F" w:rsidP="00BC413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УФ-облучение воды после ее хлорирования увеличивает степень дезактивации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хлорагента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обрабатываемой воде до 50%, по сравнению с вводом только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хлорагента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без УФ-облучения. Следовательно, уменьшение концентрации остаточного хлора из-за действия УФ-облучения предполагает проведение хлорирования после УФ-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обеззаражи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вания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 использованием дозы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хлорагента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необходимой для соблюдения норматива Сан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ПиН 2.1.4.1074-01 по содержанию остаточного хлора;</w:t>
      </w:r>
    </w:p>
    <w:p w:rsidR="00BC413F" w:rsidRPr="00BC413F" w:rsidRDefault="00BC413F" w:rsidP="00BC413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точка ввода гипохлорита натрия должна располагаться практически сразу после проведения УФ-облучения;</w:t>
      </w:r>
    </w:p>
    <w:p w:rsidR="00BC413F" w:rsidRPr="00BC413F" w:rsidRDefault="00BC413F" w:rsidP="00BC413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дозы гипохлорита натрия по активному хлору определяются по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хлорпоглощаемо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сти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обрабатываемой воды после УФ-облучения;</w:t>
      </w:r>
    </w:p>
    <w:p w:rsidR="00BC413F" w:rsidRPr="00BC413F" w:rsidRDefault="00BC413F" w:rsidP="00BC413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доза УФ-облучения составляет не менее 16-25 мДж/см</w:t>
      </w:r>
      <w:r w:rsidRPr="00BC413F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2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получения раствора гипохлорита на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трия путем электролиза в солевом растворе используется установка фирмы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Wallace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&amp;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Tieman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(Англия), состоящая из электролизеров модульной конструкции OSEC В-1-200.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состав установки помимо электролизеров входят сатураторы, предназначенные для получения насыщенного раствора поваренной соли (31-32% массы), и двухцилин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дровые установки для умягчения воды непрерывного действия, с засыпкой ионообмен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ных смол. Вода, используемая для приготовления солевого раствора, должна иметь жесткость, не превышающую 17 мг/л по СаС0</w:t>
      </w:r>
      <w:r w:rsidRPr="00BC413F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3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в противном случае понижается произ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водительность установки и появляется риск сбоя в работе.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соответствии с требованиями производителя установки, в исходном продукте (поваренной соли) должно содержаться не менее 99,8% хлорида натрия.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Основными характеристиками электролизера В1-200 являются: расход соли 3-3,9 кг (на 1 кг эквивалентного хлора); расход электроэнергии 4,5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кВтч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/кг эквивалентного хлора; концентрация гипохлорита натрия 0,7-0,9% массы в пересчете на активный хлор. Гарантия на аноды не менее 5 лет. Промывка анодов осуществляется без их демонтажа. Весь процесс электролиза осуществляется автоматически и контролируется на панели управления.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При реконструкции очистных сооружений Северного городского водопровода г. Уфы замена сжиженного хлора на УФ-облучение и использование в качестве </w:t>
      </w:r>
      <w:proofErr w:type="spellStart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хлора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гента</w:t>
      </w:r>
      <w:proofErr w:type="spellEnd"/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гипохлорита 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натрия позволили сохранить водопроводные сооружения в черте го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рода, исключив потенциальную угрозу от утечки хлора для прилегающей жилой заст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ройки и населения, а также повысить надежность процессов водоподготовки.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Принятая схема производства гипохлорита натрия обеспечивает возможность отпу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ска готового продукта в автотранспорт и розлива в тару различного объема, что предо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пределяет его многоцелевое применение:</w:t>
      </w:r>
    </w:p>
    <w:p w:rsidR="00BC413F" w:rsidRPr="00BC413F" w:rsidRDefault="00BC413F" w:rsidP="00BC413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обеззараживания на трех других инфильтрационных водозаборах малой произ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водительности по схеме УФ-облучение + хлорирование привозным раствором гипохло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рита натрия;</w:t>
      </w:r>
    </w:p>
    <w:p w:rsidR="00BC413F" w:rsidRPr="00BC413F" w:rsidRDefault="00BC413F" w:rsidP="00BC413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дезинфекции резервуаров чистой воды при их промывке раствором гипохлори</w:t>
      </w: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та натрия;</w:t>
      </w:r>
    </w:p>
    <w:p w:rsidR="00BC413F" w:rsidRPr="00BC413F" w:rsidRDefault="00BC413F" w:rsidP="00BC413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дезинфекции сетей и водоводов в аварийных ситуациях и по необходимости для промывки разводящей сети при ухудшении показателей качества воды.</w:t>
      </w:r>
    </w:p>
    <w:p w:rsidR="00BC413F" w:rsidRPr="00BC413F" w:rsidRDefault="00BC413F" w:rsidP="00BC413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BC413F">
        <w:rPr>
          <w:rFonts w:ascii="Arial" w:eastAsia="Times New Roman" w:hAnsi="Arial" w:cs="Arial"/>
          <w:b/>
          <w:bCs/>
          <w:color w:val="29547A"/>
          <w:sz w:val="28"/>
          <w:szCs w:val="28"/>
          <w:lang w:eastAsia="ru-RU"/>
        </w:rPr>
        <w:t>Схема получения гипохлорита натрия электролизным способом с помощью системы OSEC</w:t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3358055" cy="4851396"/>
            <wp:effectExtent l="0" t="0" r="0" b="6985"/>
            <wp:docPr id="1" name="Рисунок 1" descr="https://ros-pipe.ru/userfiles/ufiles/%D0%BE%D1%82%D1%80%D0%B0%D1%81%D0%BB%D0%B5%D0%B2%D1%8B%D0%B5%20%D1%80%D0%B5%D1%88%D0%B5%D0%BD%D0%B8%D1%8F/161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os-pipe.ru/userfiles/ufiles/%D0%BE%D1%82%D1%80%D0%B0%D1%81%D0%BB%D0%B5%D0%B2%D1%8B%D0%B5%20%D1%80%D0%B5%D1%88%D0%B5%D0%BD%D0%B8%D1%8F/1615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480" cy="4856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13F" w:rsidRPr="00BC413F" w:rsidRDefault="00BC413F" w:rsidP="00BC413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C413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1 - соляной сатуратор; 2 - насос-дозатор рассола; 3 - расходомер для рассола; 4 - расходомер воды для разбавления; 5 - электролизер; 6- раствор гипохлорита натрия; 7 - источник электропитания (выпрямитель); 8 - выброс водорода; 9 - резервуар для хранения гипохлорита натрия; 10 - главная и резервная воздуходувки; 11 - насос-дозатор гипохлорита натрия; 12 - магистральный водопровод; 13 - панель управления; 14 - подача воды; 15 - </w:t>
      </w:r>
      <w:proofErr w:type="spellStart"/>
      <w:r w:rsidRPr="00BC413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умягчитель</w:t>
      </w:r>
      <w:proofErr w:type="spellEnd"/>
      <w:r w:rsidRPr="00BC413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воды.</w:t>
      </w:r>
      <w:bookmarkStart w:id="0" w:name="_GoBack"/>
      <w:bookmarkEnd w:id="0"/>
    </w:p>
    <w:sectPr w:rsidR="00BC413F" w:rsidRPr="00BC41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A80475"/>
    <w:multiLevelType w:val="multilevel"/>
    <w:tmpl w:val="31F01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B026B3"/>
    <w:multiLevelType w:val="multilevel"/>
    <w:tmpl w:val="B6FEA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DD25C5"/>
    <w:multiLevelType w:val="multilevel"/>
    <w:tmpl w:val="48069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5BA"/>
    <w:rsid w:val="00BC413F"/>
    <w:rsid w:val="00D045BA"/>
    <w:rsid w:val="00DA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22789D-2FEE-4466-AFA6-49884CEF4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C41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BC413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C413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C413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C4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C413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37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137987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90017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83950">
                  <w:marLeft w:val="0"/>
                  <w:marRight w:val="0"/>
                  <w:marTop w:val="0"/>
                  <w:marBottom w:val="9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1715</Words>
  <Characters>9782</Characters>
  <Application>Microsoft Office Word</Application>
  <DocSecurity>0</DocSecurity>
  <Lines>81</Lines>
  <Paragraphs>22</Paragraphs>
  <ScaleCrop>false</ScaleCrop>
  <Company/>
  <LinksUpToDate>false</LinksUpToDate>
  <CharactersWithSpaces>11475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2021-11-09T06:33:00Z</dcterms:created>
  <dcterms:modified xsi:type="dcterms:W3CDTF">2021-11-09T06:35:00Z</dcterms:modified>
</cp:coreProperties>
</file>